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C737" w14:textId="4E21FC94" w:rsidR="005732BD" w:rsidRPr="00DB7B5D" w:rsidRDefault="005732BD" w:rsidP="005732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7B5D">
        <w:rPr>
          <w:rFonts w:ascii="Times New Roman" w:hAnsi="Times New Roman" w:cs="Times New Roman"/>
          <w:sz w:val="28"/>
          <w:szCs w:val="28"/>
          <w:lang w:val="kk-KZ"/>
        </w:rPr>
        <w:t xml:space="preserve">3 Дәріс – </w:t>
      </w:r>
      <w:r w:rsidR="00EF16C8">
        <w:rPr>
          <w:rFonts w:ascii="Times New Roman" w:hAnsi="Times New Roman" w:cs="Times New Roman"/>
          <w:sz w:val="28"/>
          <w:szCs w:val="28"/>
          <w:lang w:val="kk-KZ"/>
        </w:rPr>
        <w:t xml:space="preserve">Тұрақты дамудағы </w:t>
      </w:r>
      <w:r w:rsidR="00DB7B5D" w:rsidRPr="00DB7B5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ҚР және дамыған елдердегі </w:t>
      </w:r>
      <w:r w:rsidR="00DB7B5D" w:rsidRPr="00DB7B5D">
        <w:rPr>
          <w:rFonts w:ascii="Times New Roman" w:hAnsi="Times New Roman" w:cs="Times New Roman"/>
          <w:color w:val="FF0000"/>
          <w:kern w:val="2"/>
          <w:sz w:val="28"/>
          <w:szCs w:val="28"/>
          <w:lang w:val="kk-KZ"/>
          <w14:ligatures w14:val="standardContextual"/>
        </w:rPr>
        <w:t>с</w:t>
      </w:r>
      <w:r w:rsidR="00DB7B5D" w:rsidRPr="00DB7B5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>апалы білім берудің бағыттары</w:t>
      </w:r>
    </w:p>
    <w:p w14:paraId="06EC8ECE" w14:textId="77777777" w:rsidR="005732BD" w:rsidRPr="00DB7B5D" w:rsidRDefault="005732BD" w:rsidP="005732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7B5D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3C2F3832" w14:textId="416BFC7D" w:rsidR="005732BD" w:rsidRPr="00DB7B5D" w:rsidRDefault="005732BD" w:rsidP="005732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7B5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B7B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7B5D" w:rsidRPr="00DB7B5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ҚР және дамыған елдердегі </w:t>
      </w:r>
      <w:r w:rsidR="00DB7B5D" w:rsidRPr="00DB7B5D">
        <w:rPr>
          <w:rFonts w:ascii="Times New Roman" w:hAnsi="Times New Roman" w:cs="Times New Roman"/>
          <w:color w:val="FF0000"/>
          <w:kern w:val="2"/>
          <w:sz w:val="28"/>
          <w:szCs w:val="28"/>
          <w:lang w:val="kk-KZ"/>
          <w14:ligatures w14:val="standardContextual"/>
        </w:rPr>
        <w:t>с</w:t>
      </w:r>
      <w:r w:rsidR="00DB7B5D" w:rsidRPr="00DB7B5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>апалы білім берудің бағыттары</w:t>
      </w:r>
    </w:p>
    <w:p w14:paraId="7A8BBB50" w14:textId="5AD98216" w:rsidR="005732BD" w:rsidRPr="00DB7B5D" w:rsidRDefault="005732BD" w:rsidP="005732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7B5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B7B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7B5D" w:rsidRPr="00DB7B5D">
        <w:rPr>
          <w:rFonts w:ascii="Times New Roman" w:hAnsi="Times New Roman" w:cs="Times New Roman"/>
          <w:bCs/>
          <w:sz w:val="28"/>
          <w:szCs w:val="28"/>
          <w:lang w:val="kk-KZ"/>
        </w:rPr>
        <w:t>Иннвацияның білім саласындағы тиімділігі</w:t>
      </w:r>
    </w:p>
    <w:p w14:paraId="0FB9F03A" w14:textId="5C5950E6" w:rsidR="005732BD" w:rsidRPr="00DB7B5D" w:rsidRDefault="005732BD" w:rsidP="005732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7B5D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DB7B5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DB7B5D">
        <w:rPr>
          <w:rFonts w:ascii="Times New Roman" w:hAnsi="Times New Roman" w:cs="Times New Roman"/>
          <w:bCs/>
          <w:sz w:val="28"/>
          <w:szCs w:val="28"/>
          <w:lang w:val="kk-KZ"/>
        </w:rPr>
        <w:t>магистранттарға</w:t>
      </w:r>
      <w:r w:rsidR="00DB7B5D" w:rsidRPr="00DB7B5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 ҚР және дамыған елдердегі </w:t>
      </w:r>
      <w:r w:rsidR="00DB7B5D" w:rsidRPr="00DB7B5D">
        <w:rPr>
          <w:rFonts w:ascii="Times New Roman" w:hAnsi="Times New Roman" w:cs="Times New Roman"/>
          <w:color w:val="FF0000"/>
          <w:kern w:val="2"/>
          <w:sz w:val="28"/>
          <w:szCs w:val="28"/>
          <w:lang w:val="kk-KZ"/>
          <w14:ligatures w14:val="standardContextual"/>
        </w:rPr>
        <w:t>с</w:t>
      </w:r>
      <w:r w:rsidR="00DB7B5D" w:rsidRPr="00DB7B5D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>апалы білім берудің бағыттары</w:t>
      </w:r>
      <w:r w:rsidRPr="00DB7B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жүйелі жан-жақты түсіндіру</w:t>
      </w:r>
    </w:p>
    <w:p w14:paraId="7B145DD2" w14:textId="77777777" w:rsidR="0004682C" w:rsidRPr="0004682C" w:rsidRDefault="0004682C" w:rsidP="0004682C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04682C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4: Ауқымды және әділетті сапалы білім беруді қамтамасыз ету және барлығы үшін бүкіл өмір бойы оқу мүмкіндігін көтермелеу</w:t>
      </w:r>
    </w:p>
    <w:p w14:paraId="57602E89" w14:textId="77777777" w:rsidR="0004682C" w:rsidRPr="0004682C" w:rsidRDefault="0004682C" w:rsidP="0004682C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04682C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04682C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1FE61151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қыздар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ер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талап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етілетін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нәтижелеріне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жетуге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беретін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ақысыз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сапалы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құқылы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бастауыш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орта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білімге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болуын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аяқтауды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8331835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қыздар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ер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бастауыш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дайын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болатындай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сапалы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даму,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жүйелерімен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мектеп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жасына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дейінгі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мектепалды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оқытуға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қолжетімділікпен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B34838B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еркектерді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сапалы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кәсіптік-техникалық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жоғарғы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біліммен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университеттік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біліммен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8A7409D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талап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етілетін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машыққа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жұмысқа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орналасу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лайықты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жұмысқа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болу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кәсіптік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қызметпен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айналысу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кәсіптік-техникалық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машыққа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ересек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мөлшерін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анағұрлым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ұлғайту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366AE0F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беру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саласындағы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гендерлік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теңсіздікті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осал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топтарын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мүгедектерді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байырғы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өкілдері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осал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жағдайдағы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білімге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деңгейдегі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кәсіптік-техникалық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даярлауға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қолжетімділікпен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5306C49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еркектерді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де,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де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қосқандағы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ересек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анағұрлым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көп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оқи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алатындай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жаза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алатындай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санай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алатындай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жасау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DB709A7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мүдделерін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мүгедектердің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ерекше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қажеттіліктерін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гендерлік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аспектілерді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ескеретін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ордаларын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жетілдіру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зорлықтан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тосқауылдардан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еркін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ортасын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1FA4368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кәсіптік-техникалық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ақпараттық-коммуникациялық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техникалық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инженерлік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бағдарламаларды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есептегенде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африка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елдеріне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ұсынылатын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шәкіртақылар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мөлшерін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көбейту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8F8AA73" w14:textId="77777777" w:rsidR="0004682C" w:rsidRPr="0004682C" w:rsidRDefault="0004682C" w:rsidP="0004682C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 xml:space="preserve">2030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білікті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мұғалімдер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мемлекеттерде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мұғалімдерді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даярлау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ынтымақтастық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көбейту</w:t>
      </w:r>
      <w:proofErr w:type="spellEnd"/>
      <w:r w:rsidRPr="0004682C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ABE1749" w14:textId="77777777" w:rsidR="001632AF" w:rsidRDefault="001632AF">
      <w:pPr>
        <w:rPr>
          <w:lang w:val="kk-KZ"/>
        </w:rPr>
      </w:pPr>
    </w:p>
    <w:p w14:paraId="67177136" w14:textId="77777777" w:rsidR="0004682C" w:rsidRDefault="0004682C">
      <w:pPr>
        <w:rPr>
          <w:lang w:val="kk-KZ"/>
        </w:rPr>
      </w:pPr>
    </w:p>
    <w:p w14:paraId="1D827299" w14:textId="77777777" w:rsidR="0004682C" w:rsidRDefault="0004682C">
      <w:pPr>
        <w:rPr>
          <w:lang w:val="kk-KZ"/>
        </w:rPr>
      </w:pPr>
    </w:p>
    <w:p w14:paraId="4C8F812D" w14:textId="0F5C4FEF" w:rsidR="0004682C" w:rsidRDefault="0004682C">
      <w:pPr>
        <w:rPr>
          <w:lang w:val="kk-KZ"/>
        </w:rPr>
      </w:pPr>
      <w:r>
        <w:rPr>
          <w:noProof/>
        </w:rPr>
        <w:drawing>
          <wp:inline distT="0" distB="0" distL="0" distR="0" wp14:anchorId="63733221" wp14:editId="2CA13BB3">
            <wp:extent cx="5940425" cy="4199616"/>
            <wp:effectExtent l="0" t="0" r="317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E480" w14:textId="77777777" w:rsidR="0004682C" w:rsidRPr="0004682C" w:rsidRDefault="0004682C">
      <w:pPr>
        <w:rPr>
          <w:lang w:val="kk-KZ"/>
        </w:rPr>
      </w:pPr>
    </w:p>
    <w:p w14:paraId="3285DCC5" w14:textId="77777777" w:rsidR="00D54047" w:rsidRDefault="00D54047">
      <w:pPr>
        <w:rPr>
          <w:lang w:val="kk-KZ"/>
        </w:rPr>
      </w:pPr>
    </w:p>
    <w:p w14:paraId="64E194CE" w14:textId="77777777" w:rsidR="00D54047" w:rsidRDefault="00D54047">
      <w:pPr>
        <w:rPr>
          <w:lang w:val="kk-KZ"/>
        </w:rPr>
      </w:pPr>
    </w:p>
    <w:p w14:paraId="47629455" w14:textId="77777777" w:rsidR="00D54047" w:rsidRPr="0080216D" w:rsidRDefault="00D54047" w:rsidP="00D5404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BE15A6B" w14:textId="77777777" w:rsidR="00D54047" w:rsidRPr="0080216D" w:rsidRDefault="00D54047" w:rsidP="00D54047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F569708" w14:textId="77777777" w:rsidR="00D54047" w:rsidRPr="0080216D" w:rsidRDefault="00D54047" w:rsidP="00D5404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7ECF7C8" w14:textId="77777777" w:rsidR="00D54047" w:rsidRPr="0080216D" w:rsidRDefault="00D54047" w:rsidP="00D5404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8EA8076" w14:textId="77777777" w:rsidR="00D54047" w:rsidRPr="0080216D" w:rsidRDefault="00D54047" w:rsidP="00D5404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774EE94F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596F9D" w14:textId="77777777" w:rsidR="00D54047" w:rsidRPr="0080216D" w:rsidRDefault="00D54047" w:rsidP="00D540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671BB3DF" w14:textId="77777777" w:rsidR="00D54047" w:rsidRPr="0080216D" w:rsidRDefault="00D54047" w:rsidP="00D540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2CD06A0C" w14:textId="77777777" w:rsidR="00D54047" w:rsidRPr="0080216D" w:rsidRDefault="00D54047" w:rsidP="00D540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528127BF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3FDEBEFA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5F514892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4C59FB61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Оқу бизнес-кейстерінің жинағы -Алматы: Үш қиян, 2025.-436 б.</w:t>
      </w:r>
    </w:p>
    <w:p w14:paraId="330D991F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2BB80EC8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4F1BE44C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7C12290C" w14:textId="77777777" w:rsidR="00D54047" w:rsidRPr="0080216D" w:rsidRDefault="00D54047" w:rsidP="00D540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5FBDB1B6" w14:textId="77777777" w:rsidR="00D54047" w:rsidRPr="0080216D" w:rsidRDefault="00D54047" w:rsidP="00D540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0B5772CE" w14:textId="77777777" w:rsidR="00D54047" w:rsidRPr="0080216D" w:rsidRDefault="00D54047" w:rsidP="00D5404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34DBFA97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6293DB5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27313434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5AC74A7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403E243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40C1C01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5F9B08E9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59B1B579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18BD334" w14:textId="77777777" w:rsidR="00D54047" w:rsidRPr="0080216D" w:rsidRDefault="00D54047" w:rsidP="00D54047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C32291D" w14:textId="77777777" w:rsidR="00D54047" w:rsidRPr="0080216D" w:rsidRDefault="00D54047" w:rsidP="00D5404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B60125A" w14:textId="77777777" w:rsidR="00D54047" w:rsidRPr="0080216D" w:rsidRDefault="00D54047" w:rsidP="00D5404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5FACF836" w14:textId="77777777" w:rsidR="00D54047" w:rsidRPr="0080216D" w:rsidRDefault="00D54047" w:rsidP="00D5404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09BB10A7" w14:textId="77777777" w:rsidR="00D54047" w:rsidRPr="0080216D" w:rsidRDefault="00D54047" w:rsidP="00D5404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687A92C2" w14:textId="77777777" w:rsidR="00D54047" w:rsidRPr="0080216D" w:rsidRDefault="00D54047" w:rsidP="00D5404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15D103E" w14:textId="77777777" w:rsidR="00D54047" w:rsidRPr="0080216D" w:rsidRDefault="00D54047" w:rsidP="00D5404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2A44E65A" w14:textId="77777777" w:rsidR="00D54047" w:rsidRPr="0080216D" w:rsidRDefault="00D54047" w:rsidP="00D540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045DDA4" w14:textId="77777777" w:rsidR="00D54047" w:rsidRPr="0080216D" w:rsidRDefault="00D54047" w:rsidP="00D540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354B958" w14:textId="77777777" w:rsidR="00D54047" w:rsidRPr="0080216D" w:rsidRDefault="00D54047" w:rsidP="00D5404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6457137F" w14:textId="77777777" w:rsidR="00D54047" w:rsidRPr="0080216D" w:rsidRDefault="00D54047" w:rsidP="00D5404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27F82E20" w14:textId="77777777" w:rsidR="00D54047" w:rsidRDefault="00D54047">
      <w:pPr>
        <w:rPr>
          <w:lang w:val="kk-KZ"/>
        </w:rPr>
      </w:pPr>
    </w:p>
    <w:p w14:paraId="7BD221AB" w14:textId="77777777" w:rsidR="00D54047" w:rsidRPr="00D54047" w:rsidRDefault="00D54047">
      <w:pPr>
        <w:rPr>
          <w:lang w:val="kk-KZ"/>
        </w:rPr>
      </w:pPr>
    </w:p>
    <w:sectPr w:rsidR="00D54047" w:rsidRPr="00D5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D25B2"/>
    <w:multiLevelType w:val="multilevel"/>
    <w:tmpl w:val="C8C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3"/>
  </w:num>
  <w:num w:numId="4" w16cid:durableId="208850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B2"/>
    <w:rsid w:val="0004682C"/>
    <w:rsid w:val="001632AF"/>
    <w:rsid w:val="00310446"/>
    <w:rsid w:val="003A3B86"/>
    <w:rsid w:val="003E6D87"/>
    <w:rsid w:val="005732BD"/>
    <w:rsid w:val="00813DEF"/>
    <w:rsid w:val="00904CB2"/>
    <w:rsid w:val="00D54047"/>
    <w:rsid w:val="00DB7B5D"/>
    <w:rsid w:val="00EA4AFC"/>
    <w:rsid w:val="00E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A21B"/>
  <w15:chartTrackingRefBased/>
  <w15:docId w15:val="{71B9D5F7-39ED-4621-862D-BBA9636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B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54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2026-01-03T10:39:00Z</dcterms:created>
  <dcterms:modified xsi:type="dcterms:W3CDTF">2026-01-04T13:00:00Z</dcterms:modified>
</cp:coreProperties>
</file>